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5AD5" w:rsidRPr="00575AD5" w:rsidRDefault="00575AD5" w:rsidP="00575AD5">
      <w:pPr>
        <w:shd w:val="clear" w:color="auto" w:fill="FFFFFF"/>
        <w:spacing w:before="375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</w:pPr>
      <w:r w:rsidRPr="00575AD5"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  <w:t>ҚОНУНИ ҶУМҲУРИИ ТОҶИКИСТОН</w:t>
      </w:r>
    </w:p>
    <w:p w:rsidR="00575AD5" w:rsidRPr="00575AD5" w:rsidRDefault="00575AD5" w:rsidP="00575AD5">
      <w:pPr>
        <w:shd w:val="clear" w:color="auto" w:fill="FFFFFF"/>
        <w:spacing w:before="375" w:after="0" w:line="240" w:lineRule="auto"/>
        <w:jc w:val="center"/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</w:pPr>
      <w:bookmarkStart w:id="0" w:name="_GoBack"/>
      <w:r w:rsidRPr="00575AD5"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  <w:t>ДАР БОРАИ ПАЛАТАИ САВДОИ САНОАТИИ ҶУМҲУРИИ ТОҶИКИСТОН</w:t>
      </w:r>
    </w:p>
    <w:bookmarkEnd w:id="0"/>
    <w:p w:rsidR="00575AD5" w:rsidRPr="00575AD5" w:rsidRDefault="00575AD5" w:rsidP="00575A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8000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008000"/>
          <w:sz w:val="21"/>
          <w:szCs w:val="21"/>
          <w:lang w:eastAsia="ru-RU"/>
        </w:rPr>
        <w:t>(</w:t>
      </w:r>
      <w:proofErr w:type="spellStart"/>
      <w:r w:rsidRPr="00575AD5">
        <w:rPr>
          <w:rFonts w:ascii="Arial" w:eastAsia="Times New Roman" w:hAnsi="Arial" w:cs="Arial"/>
          <w:color w:val="008000"/>
          <w:sz w:val="21"/>
          <w:szCs w:val="21"/>
          <w:lang w:eastAsia="ru-RU"/>
        </w:rPr>
        <w:t>Қонуни</w:t>
      </w:r>
      <w:proofErr w:type="spellEnd"/>
      <w:r w:rsidRPr="00575AD5">
        <w:rPr>
          <w:rFonts w:ascii="Arial" w:eastAsia="Times New Roman" w:hAnsi="Arial" w:cs="Arial"/>
          <w:color w:val="008000"/>
          <w:sz w:val="21"/>
          <w:szCs w:val="21"/>
          <w:lang w:eastAsia="ru-RU"/>
        </w:rPr>
        <w:t xml:space="preserve"> ҶТ аз 29.12.2010 </w:t>
      </w:r>
      <w:hyperlink r:id="rId4" w:tooltip="Ссылка на Қонуни ҶТ Оид ба ворид намудани тағйир ба Қонуни ҶТ Дар бораи палатаи савдои саноатии ҶТ" w:history="1">
        <w:r w:rsidRPr="00575AD5">
          <w:rPr>
            <w:rFonts w:ascii="Arial" w:eastAsia="Times New Roman" w:hAnsi="Arial" w:cs="Arial"/>
            <w:color w:val="0000CC"/>
            <w:sz w:val="21"/>
            <w:szCs w:val="21"/>
            <w:lang w:eastAsia="ru-RU"/>
          </w:rPr>
          <w:t>№ 655</w:t>
        </w:r>
      </w:hyperlink>
      <w:r w:rsidRPr="00575AD5">
        <w:rPr>
          <w:rFonts w:ascii="Arial" w:eastAsia="Times New Roman" w:hAnsi="Arial" w:cs="Arial"/>
          <w:color w:val="008000"/>
          <w:sz w:val="21"/>
          <w:szCs w:val="21"/>
          <w:lang w:eastAsia="ru-RU"/>
        </w:rPr>
        <w:t>)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асосҳои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умумии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иқтисоди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иҷтимоии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муайян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усулҳои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муносибати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мутақобилаи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давлат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муқаррар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" w:name="A000000002"/>
      <w:bookmarkEnd w:id="1"/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Моддаи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1.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Мафҳуми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саноатии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Тоҷикистон</w:t>
      </w:r>
      <w:proofErr w:type="spellEnd"/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(Палата)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ғайридавлати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ғайритиҷорати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мебошад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муттаҳид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месозад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ғайридавлати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ғайритиҷорати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хоҷагидории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худро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вобаста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иҷрои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вазифаҳои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оинномавии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худ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анҷом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фоидаи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бадастомадаро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аъзои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худ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тақсим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шахси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мебошад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2" w:name="A000000003"/>
      <w:bookmarkEnd w:id="2"/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Моддаи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2.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Қонунгузори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бораи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саноати</w:t>
      </w:r>
      <w:proofErr w:type="spellEnd"/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Қонунгузори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бораи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асноди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иборат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Амали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аъзои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ҳангоми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анҷом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додани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узвият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вобаста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намебошад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татбиқ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намегардад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Номи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"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"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ибораҳое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асоси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сохта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шудаанд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номи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ташкилотҳое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истифода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шуда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метавонанд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тарафи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Палата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мутобиқи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муқаррароти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таъсис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шудаанд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ташкилотҳо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ҳақ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надоранд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номҳои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худ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ибораҳои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"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", "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", "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"-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истифода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набояд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номҳое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калимаҳоро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гуна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ибораҳо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дарбар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мегиранд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қайди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давлати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гирифта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шаванд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3" w:name="A000000004"/>
      <w:bookmarkEnd w:id="3"/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Моддаи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3.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Мақсадҳо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вазифаҳои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асосии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саноати</w:t>
      </w:r>
      <w:proofErr w:type="spellEnd"/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худро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мақсади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мусоидат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рушди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иқтисодии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ҳамгироии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низоми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хоҷагидории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ҷаҳони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ташаккули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зербинои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муосири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муносибатҳои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бозаргони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вуҷуд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овардани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шароити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мусоид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иқтисодии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танзими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муносиботи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шарикони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иҷтимоии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тараққии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ҳамаҷонибаи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робитаҳои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тиҷоратию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иқтисоди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илмию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техникии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кишварҳои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анҷом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вазифаҳои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асосии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зеринро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иҷро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иттиҳодияҳои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кӯмак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мерасонад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намояндаги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манфиатҳои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масъалаҳое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анҷом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додани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хоҷагидори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ҷумла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вобастаанд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ҳимоя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асоси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шартномаи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ҳимояи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манфиатҳои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асоси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шаҳрвандони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тиҷорати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байналхалқи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моликияти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зеҳни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амали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мегардонад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рушди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навъҳои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дарназардошти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манфиатҳои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иқтисодии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хоҷагии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халқ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мусоидат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мерасонад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муносибати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мутақобиларо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субъектҳои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ҳамкории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мутақобилаи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давлат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симои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мақомоти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шарикони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иҷтимои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-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вазифаҳои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намояндагии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аъзои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ташкилотҳои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байналхалқии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тиҷорати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молияви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созмонҳои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иқтисоди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анҷом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инкишофи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низоми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таҳсилот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тарбияи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кадрҳо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мусоидат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мерасонад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таҳия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татбиқи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барномаҳои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байнидавлати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ин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ширкат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иттиҳодияҳо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иттифоқҳо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ассотсиатсияҳои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хизматҳои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иттилооти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мерасонад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зербинои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хизматрасонии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иттилоотии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мусоидат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рушди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содироти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молу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маҳсулот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хизматрасониҳои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ватани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мусоидат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гузаронидани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амалиёт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бозори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беруни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худ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кардани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шаклҳои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нави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ҳамкории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тиҷоратию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иқтисоди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илмию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техники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кӯмаки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амали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мерасонад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ҳайатҳои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намояндагони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доираҳои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миссияҳоро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қабул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ҷустуҷӯи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шарикон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барқарор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намудани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робитаҳои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кори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мусоидат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мерасонад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кишварҳо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мераванд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чунин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вазифаҳоро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иҷро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масъалаҳои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иқтисодии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хизматҳои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иттилоотию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машварати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мерасонад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шарикони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вазифаҳои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миёнаравиро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анҷом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ташкилотҳои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ҳаммонанд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робитаҳо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барқарор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инкишоф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ташкилотҳои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мазкур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созишномаҳо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мебандад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миссияҳо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ҳайатҳои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иқтисоди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тиҷорати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супориши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ашхоси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воқеии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давлатҳои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сифат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назорати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миқдор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пуррагии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молу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маҳсулот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экспертизаҳо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мегузаронад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таҳсил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коромӯзии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мутахассиcонро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навъҳои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таҳсилро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ҷумла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доир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тарҷума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ҷумла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тарҷумаи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шифоҳии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асноди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техники,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маводи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маълумотию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рекламави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мавод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хизмат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мерасонад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рекламавиро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иҷрои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вазифаҳои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қонеъ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гардонидани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эҳтиёҷоти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аъзои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зарур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анҷом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лоиҳаҳо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тартиб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низоми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намоишро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давлатҳои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аломатҳои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молу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маҳсулот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нишонаҳои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фирма,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намунаҳои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тарҳҳои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ороиширо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таҳия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ҳудуди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ваколатҳои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доштааш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мавриди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роҳ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надодан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рақобати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ғайрисолим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шарикии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ғайри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қобили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кори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пешгирии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тадбирҳо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меандешад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танзими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баҳсҳое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вуҷуд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меоянд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кӯмак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мерасонад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Палата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мутобиқи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асноди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вазифаҳоро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низ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анҷом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4" w:name="A000000005"/>
      <w:bookmarkEnd w:id="4"/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Моддаи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4.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Принсипҳои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саноати</w:t>
      </w:r>
      <w:proofErr w:type="spellEnd"/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худро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асоси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принсипҳои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ихтиёри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баробарии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аъзои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худидоракуни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роҳ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мемонад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5" w:name="A000000006"/>
      <w:bookmarkEnd w:id="5"/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Моддаи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5.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Муносиботи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мутақобилаи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мақомоти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давлати</w:t>
      </w:r>
      <w:proofErr w:type="spellEnd"/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ҷараёни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иҷрои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ӯҳдадориҳои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худ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мақомоти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давлати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ҳамкори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Давлат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назоратро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болои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асоси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асноди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роҳ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мемонад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Дахолати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мақомоти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давлати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Палата,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истиснои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ҳолатҳое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қонунгузори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пешбини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шудаанд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мумкин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нест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6" w:name="A000000007"/>
      <w:bookmarkEnd w:id="6"/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lastRenderedPageBreak/>
        <w:t>Моддаи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6.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Таъсиси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саноати</w:t>
      </w:r>
      <w:proofErr w:type="spellEnd"/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ташаббуси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камтар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панҷ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муассис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таъсис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мешавад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Муассисони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анҷумани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конференсияи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муассис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ё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маҷлиси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умумиро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даъват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Оиннома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қабул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карда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мақомоти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роҳбарикунандаи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Палата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таъсис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мешаванд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7" w:name="A000000008"/>
      <w:bookmarkEnd w:id="7"/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Моддаи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7.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Узвият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саноати</w:t>
      </w:r>
      <w:proofErr w:type="spellEnd"/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Ашхоси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воқеии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иттиҳодияҳои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аъзои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буда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метавонанд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Узвият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аъзои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он: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қабули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қарорҳо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анҷуманҳо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дар кори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мақомоти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Палата,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таъсиси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мақомоти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мазкур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мутобиқи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муқаррароти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асноди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муассис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зикршуда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ширкат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имтиёзот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асноди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муассиси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пешбини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шудаанд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истифода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8" w:name="A000000009"/>
      <w:bookmarkEnd w:id="8"/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Моддаи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8.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Оинномаи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саноати</w:t>
      </w:r>
      <w:proofErr w:type="spellEnd"/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Оинномаи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нуқоти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зеринро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пешбини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а) ном,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мақсадҳо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вазифаҳои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Палата;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б)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шароит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тартиби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қабул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узвияти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Палата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шудан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он;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ӯҳдадориҳои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аъзои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Палата;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г)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салоҳият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тартиби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таъсиси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мақомоти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роҳбарикунандаи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Палата,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мӯҳлатҳои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ваколатҳои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мақомоти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роҳбарикунанда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тартиби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тарафи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қабул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шудани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қарорҳо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манбаъҳои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бавуҷудоии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маблағҳо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амволи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Палата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тартиби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истифодаи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е)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сохтори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Палата;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ж)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тартиби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ворид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намудани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тағйироту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иловаҳо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Оинномаи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Палата;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тартиби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қатъи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Палата;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Оиннома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муқаррароти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низ,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мансубанд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пешбини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шуда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метавонанд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Оинномаи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набояд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мухолифат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дошта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бошад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9" w:name="A000000010"/>
      <w:bookmarkEnd w:id="9"/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Моддаи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9.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Бақайдгирии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давлатии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саноатии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Тоҷикистон</w:t>
      </w:r>
      <w:proofErr w:type="spellEnd"/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Бақайдгирии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давлатии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мутобиқи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"Дар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бораи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бақайдгирии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давлатии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шахсони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ҳуқуқӣ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инфиродӣ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"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амалӣ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карда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мешавад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575AD5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(</w:t>
      </w:r>
      <w:proofErr w:type="spellStart"/>
      <w:r w:rsidRPr="00575AD5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Қонуни</w:t>
      </w:r>
      <w:proofErr w:type="spellEnd"/>
      <w:r w:rsidRPr="00575AD5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 xml:space="preserve"> ҶТ аз 29.12.2010 </w:t>
      </w:r>
      <w:hyperlink r:id="rId5" w:tooltip="Ссылка на Қонуни ҶТ Оид ба ворид намудани тағйир ба Қонуни ҶТ Дар бораи палатаи савдои саноатии ҶТ" w:history="1">
        <w:r w:rsidRPr="00575AD5">
          <w:rPr>
            <w:rFonts w:ascii="Arial" w:eastAsia="Times New Roman" w:hAnsi="Arial" w:cs="Arial"/>
            <w:i/>
            <w:iCs/>
            <w:color w:val="0000CC"/>
            <w:sz w:val="21"/>
            <w:szCs w:val="21"/>
            <w:lang w:eastAsia="ru-RU"/>
          </w:rPr>
          <w:t>№ 655</w:t>
        </w:r>
      </w:hyperlink>
      <w:r w:rsidRPr="00575AD5">
        <w:rPr>
          <w:rFonts w:ascii="Arial" w:eastAsia="Times New Roman" w:hAnsi="Arial" w:cs="Arial"/>
          <w:i/>
          <w:iCs/>
          <w:color w:val="990099"/>
          <w:sz w:val="21"/>
          <w:szCs w:val="21"/>
          <w:lang w:eastAsia="ru-RU"/>
        </w:rPr>
        <w:t>)</w:t>
      </w: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0" w:name="A000000011"/>
      <w:bookmarkEnd w:id="10"/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Моддаи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10.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Ҳуқуқи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саноати</w:t>
      </w:r>
      <w:proofErr w:type="spellEnd"/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тамоми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иҷрои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мақсадҳо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вазифаҳои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заруранд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Оинномаи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муайян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карда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шудаанд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мебошад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ҳақ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дорад,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1)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таҳияи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лоиҳаҳои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асноди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меъёри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иқтисод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амали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намудани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робитаҳои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иқтисодии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доир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масъалаҳое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манфиатҳои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субъектҳои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дахл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доранд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ширкат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манфиатҳои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аъзои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худро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мақомоти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давлати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мақомот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намояндаги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ҳимоя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3)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тартиби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муқаррарнамудаи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ватани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патентонии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ихтироот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колбадҳои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муфид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намунаҳои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бақайдгирии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аломатҳои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молу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маҳсулот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нишонаҳои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хизматрасони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номгӯи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ҷойҳои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баромади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молу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маҳсулот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кӯмак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4)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муомилот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ҷумла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муомилоти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тиҷоратии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кредити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вексели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амалиёт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саҳмияҳо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коғазҳои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арзишнок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амалиётро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ашхоси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воқеи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анҷом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5)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амволи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манқул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ғайриманқулро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созад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харидори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бегона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иҷора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гирад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иҷора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6)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Ҳукумати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масъалаи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кушодани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намояндагиҳои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ассотсиатсияҳо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иттифоқҳои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фирмаҳо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ташкилотҳои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хориҷие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ҳамкори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Палата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аъзои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манфиатдоранд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дарназардошти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мушахассоти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пешниҳодҳо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манзур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7)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супориши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ватани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экспертиза,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назорати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сифат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миқдор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пуррагии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молу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маҳсулоти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содироти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воридоти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ҷумла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ашёи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таҷҳизотро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гузаронад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8)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сифатномаҳои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баромади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молу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маҳсулот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асноди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марбут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анҷом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додани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иқтисодии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хориҷиро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тасдиқ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9)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феҳристи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ғайридавлатии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соҳибкоронеро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вазъи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молияви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иқтисодии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бораи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эътимоднокии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шарикон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шаҳодат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пеш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10)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намоишҳои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байналхалқи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омода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доир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намудани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намоишҳои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молу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маҳсулоти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ватаниро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таъмин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созад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11)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корхонаю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муассисаҳо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таҷдиди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барҳам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мушгарак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утоқҳои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тиҷорат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сохторҳо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ширкат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12)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филиалҳо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намояндагиҳои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худро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ҷумла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кушояд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13)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таъмини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рузномаҳо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маҷаллаҳо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маводи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нашаротиро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интишор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14)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усулҳои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пешбурди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худро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мустақилона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муайян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сохтор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ҷадвали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штати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теъдоди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кормандон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шакл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андозаҳои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музди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меҳнат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ҳавасмандгардонии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моддии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меҳнати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муқаррар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созад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15)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ваколатҳоеро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мухолифат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надошта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бошанд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амали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Асноди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ҳуқуқие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тарафи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ҳудуди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салоҳияти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шудаанд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тамоми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қаламрави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эътибор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доранд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Оинномаи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инъикос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тартиби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пешбининамудаи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амали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карда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мешаванд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1" w:name="A000000012"/>
      <w:bookmarkEnd w:id="11"/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Моддаи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11.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Моликияти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саноати</w:t>
      </w:r>
      <w:proofErr w:type="spellEnd"/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метавонад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моликияти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худ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биноҳо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иншоот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таҷҳизот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саҳмияҳо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коғазҳои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арзишнок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амволи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алоҳидае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иҷрои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вазифаҳои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оинномави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заруранд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дошта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бошад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Корхонаҳое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тарафи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таъсис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шудаанд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амволи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мавҷудаи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худро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доираи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ваколатҳои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тарафи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Палата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додашуда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мутобиқи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мақсадҳо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вазифаҳое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оинномаҳои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шартномаҳои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мазкур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басташуда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пешбини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гардидаанд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истифода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мебаранд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ихтиёрдори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Манбаи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маблағҳои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ҳиссаҳои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дохилшави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ҳаққи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узвият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даромадҳо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худи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хоҷагидории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таъсисдодаи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маблағҳои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воридшуда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мебошанд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Маблағҳои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таъмини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таъсиси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фондҳои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истифода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бурда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мешаванд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Ҳангоми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шудани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аъзои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ҳаққулузвиятҳои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пардохтшуда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баргардонида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намешаванд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даъво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ҳиссаи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амволи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қабул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карда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намешавад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Ҳуқуқи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моликияти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муҳофизат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карда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мешавад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2" w:name="A000000013"/>
      <w:bookmarkEnd w:id="12"/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Моддаи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12.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Масъулияти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саноати</w:t>
      </w:r>
      <w:proofErr w:type="spellEnd"/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ӯҳдадориҳои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худ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амволе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тааллуқ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дорад,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масъул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ӯҳдадориҳои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аъзои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худ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масъулият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надорад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аъзои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низ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ӯҳдадориҳои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масъул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намебошанд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ӯҳдадориҳои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таъсисдодаи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худ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масъулият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надорад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корхонаҳои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мазкур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низ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ӯҳдадориҳои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масъул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намебошанд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3" w:name="A000000014"/>
      <w:bookmarkEnd w:id="13"/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Моддаи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13.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Робитаҳои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байналхалқии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ширкат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ташкилотҳои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байналхалқи</w:t>
      </w:r>
      <w:proofErr w:type="spellEnd"/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мутобиқи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амалкунандаи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Оинномаи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худ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метавонад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робитаҳои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мустақими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байналхалқи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дошта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бошад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созишномаҳои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дахлдор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бандад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манфиатҳои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аъзои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худро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байналхалқии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савдо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Ассотсиатсияи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байналхалқи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оид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ҳифзи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моликияти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Бюрои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байналхалқии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намоишҳо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Ташкилоти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байналхалқии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меҳнат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дигар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ташкилотҳои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байналхалқи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масъалаи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марбут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фаъолияти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соҳибкори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намояндаги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мекунад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иҷрои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вазифаҳои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худ Палата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филиалҳо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намояндагиҳои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худро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таъсис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ҳамчунин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ҳақ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дорад,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якҷоя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кишварҳои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хориҷи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палатаҳои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тиҷорати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тиҷоратию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саноатии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муштарак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таъсис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диҳад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before="300" w:after="0" w:line="240" w:lineRule="auto"/>
        <w:ind w:hanging="960"/>
        <w:outlineLvl w:val="5"/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</w:pPr>
      <w:bookmarkStart w:id="14" w:name="A000000015"/>
      <w:bookmarkEnd w:id="14"/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Моддаи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14.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Шартномаҳои</w:t>
      </w:r>
      <w:proofErr w:type="spellEnd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003399"/>
          <w:sz w:val="26"/>
          <w:szCs w:val="26"/>
          <w:lang w:eastAsia="ru-RU"/>
        </w:rPr>
        <w:t>байналхалқи</w:t>
      </w:r>
      <w:proofErr w:type="spellEnd"/>
    </w:p>
    <w:p w:rsidR="00575AD5" w:rsidRPr="00575AD5" w:rsidRDefault="00575AD5" w:rsidP="00575AD5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Агар дар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шартномаҳои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байналхалқии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қоидаҳое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муқаррар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шуда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бошанд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аз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қоидаҳои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ҳамин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Қонун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фарқ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дошта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бошанд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он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гоҳ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қоидаҳои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шартномаи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байналхалқи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мавриди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истифода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қарор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мегиранд</w:t>
      </w:r>
      <w:proofErr w:type="spellEnd"/>
      <w:r w:rsidRPr="00575A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75AD5" w:rsidRPr="00575AD5" w:rsidRDefault="00575AD5" w:rsidP="00575A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Президенти</w:t>
      </w:r>
      <w:proofErr w:type="spellEnd"/>
    </w:p>
    <w:p w:rsidR="00575AD5" w:rsidRPr="00575AD5" w:rsidRDefault="00575AD5" w:rsidP="00575A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proofErr w:type="spellStart"/>
      <w:r w:rsidRPr="00575AD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Ҷумҳурии</w:t>
      </w:r>
      <w:proofErr w:type="spellEnd"/>
      <w:r w:rsidRPr="00575AD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 </w:t>
      </w:r>
      <w:proofErr w:type="spellStart"/>
      <w:r w:rsidRPr="00575AD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Тоҷикистон</w:t>
      </w:r>
      <w:proofErr w:type="spellEnd"/>
      <w:r w:rsidRPr="00575AD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                               </w:t>
      </w:r>
      <w:proofErr w:type="spellStart"/>
      <w:r w:rsidRPr="00575AD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Э.Рахмонов</w:t>
      </w:r>
      <w:proofErr w:type="spellEnd"/>
    </w:p>
    <w:p w:rsidR="00575AD5" w:rsidRPr="00575AD5" w:rsidRDefault="00575AD5" w:rsidP="00575A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ш. Душанбе </w:t>
      </w:r>
    </w:p>
    <w:p w:rsidR="00575AD5" w:rsidRPr="00575AD5" w:rsidRDefault="00575AD5" w:rsidP="00575A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r w:rsidRPr="00575AD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 22 </w:t>
      </w:r>
      <w:proofErr w:type="spellStart"/>
      <w:r w:rsidRPr="00575AD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маи</w:t>
      </w:r>
      <w:proofErr w:type="spellEnd"/>
      <w:r w:rsidRPr="00575AD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 соли 1998 № 603</w:t>
      </w:r>
    </w:p>
    <w:p w:rsidR="00701AE2" w:rsidRDefault="00701AE2"/>
    <w:sectPr w:rsidR="0070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D5"/>
    <w:rsid w:val="00575AD5"/>
    <w:rsid w:val="0070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8E03C-CE05-4C94-BB8E-E62490B3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5A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575AD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5A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75AD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dname">
    <w:name w:val="dname"/>
    <w:basedOn w:val="a"/>
    <w:rsid w:val="0057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5AD5"/>
    <w:rPr>
      <w:color w:val="0000FF"/>
      <w:u w:val="single"/>
    </w:rPr>
  </w:style>
  <w:style w:type="character" w:customStyle="1" w:styleId="inline-comment">
    <w:name w:val="inline-comment"/>
    <w:basedOn w:val="a0"/>
    <w:rsid w:val="0057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i-huquqi.tj/publicadliya/view_qonunhoview.php?showdetail=&amp;asosi_id=12458" TargetMode="External"/><Relationship Id="rId4" Type="http://schemas.openxmlformats.org/officeDocument/2006/relationships/hyperlink" Target="http://portali-huquqi.tj/publicadliya/view_qonunhoview.php?showdetail=&amp;asosi_id=124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2127</Words>
  <Characters>12129</Characters>
  <Application>Microsoft Office Word</Application>
  <DocSecurity>0</DocSecurity>
  <Lines>101</Lines>
  <Paragraphs>28</Paragraphs>
  <ScaleCrop>false</ScaleCrop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Borunova</dc:creator>
  <cp:keywords/>
  <dc:description/>
  <cp:lastModifiedBy>Lyudmila Borunova</cp:lastModifiedBy>
  <cp:revision>1</cp:revision>
  <dcterms:created xsi:type="dcterms:W3CDTF">2025-10-06T07:30:00Z</dcterms:created>
  <dcterms:modified xsi:type="dcterms:W3CDTF">2025-10-06T07:30:00Z</dcterms:modified>
</cp:coreProperties>
</file>