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3399"/>
          <w:kern w:val="36"/>
          <w:sz w:val="34"/>
          <w:szCs w:val="34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003399"/>
          <w:kern w:val="36"/>
          <w:sz w:val="34"/>
          <w:szCs w:val="34"/>
          <w:lang w:eastAsia="ru-RU"/>
        </w:rPr>
        <w:t>ЗАКОН РЕСПУБЛИКИ ТАДЖИКИСТАН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bookmarkStart w:id="0" w:name="_GoBack"/>
      <w:r w:rsidRPr="009B4DA6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Об упорядочении традиций, торжеств и обрядов в Республике Таджикистан</w:t>
      </w:r>
    </w:p>
    <w:bookmarkEnd w:id="0"/>
    <w:p w:rsidR="009B4DA6" w:rsidRPr="009B4DA6" w:rsidRDefault="009B4DA6" w:rsidP="009B4D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8000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(в редакции Закона РТ от 18.06.2008г.</w:t>
      </w:r>
      <w:hyperlink r:id="rId4" w:tooltip="Ссылка на Закон РТ О внес. измен-й в Закон РТ Об упорядочении традиций, торжеств и обрядов в Республике Таджикистан" w:history="1">
        <w:r w:rsidRPr="009B4DA6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№390</w:t>
        </w:r>
      </w:hyperlink>
      <w:r w:rsidRPr="009B4DA6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, от 21.07.2010г.</w:t>
      </w:r>
      <w:hyperlink r:id="rId5" w:tooltip="Ссылка на Закон РТ О внесении изменений в Закон Республики Таджикистан Об упорядочении традиций, торжеств и обрядов в РТ" w:history="1">
        <w:r w:rsidRPr="009B4DA6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№636</w:t>
        </w:r>
      </w:hyperlink>
      <w:r w:rsidRPr="009B4DA6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, от 30.05.2017г.</w:t>
      </w:r>
      <w:hyperlink r:id="rId6" w:tooltip="Ссылка на Закон РТ О внесении изме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№1428</w:t>
        </w:r>
      </w:hyperlink>
      <w:r w:rsidRPr="009B4DA6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, от 28.08.2017г.</w:t>
      </w:r>
      <w:hyperlink r:id="rId7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, от 25.06.2021г.</w:t>
      </w:r>
      <w:hyperlink r:id="rId8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)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Настоящий Закон упорядочивает традиции, торжества и обряды с учётом потребностей развития общества и направлен на защиту истинных ценностей национальной культуры и уважение к народным обычаям для повышения социального и экономического уровня жизни граждан Республики Таджикистан.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" w:name="A000000002"/>
      <w:bookmarkEnd w:id="1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ГЛАВА I. ОБЩИЕ ПОЛОЖЕНИЯ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" w:name="A000000003"/>
      <w:bookmarkEnd w:id="2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1. Цель, задача и пределы действия настоящего Закона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Целью настоящего Закона является защита социальных интересов народа Таджикистана, содействие снижению уровня бедности и предотвращение излишних расходов, наносящих серьёзный ущерб экономическим интересам и моральным устоям жизни граждан. Закон также направлен на обеспечение прав и свобод граждан и общественного порядка.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Задачей настоящего Закона является упорядочение традиций, торжеств и обрядов на основе национальной культуры и достижений мировой цивилизации.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Действие настоящего Закона распространяется на государственные органы, органы самоуправления посёлков и сёл, предприятия, учреждения и другие организации,  независимо от ведомственной подчиненности и форм собственности, а также на все физические лица, независимо от их социального положения и национальной принадлежности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9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Национальные меньшинства в рамках настоящего Закона свободны в соблюдении своих традиций, торжеств и обрядов.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3" w:name="A000000004"/>
      <w:bookmarkEnd w:id="3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2. Основные понятия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настоящем Законе используются следующие основные понятия: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традиция - совокупность материальных и моральных ценностей социального и культурного наследия общества или отдельных общественных групп, переходящих от поколения к поколению;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обряд - совокупность символических действий, выражающих отношение лиц и социальных групп к важным явлениям культурной жизни общества;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торжество - празднование событий или исторических, культурных, общественных, профессиональных и семейных дат.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4" w:name="A000000005"/>
      <w:bookmarkEnd w:id="4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3. Законодательство Республики Таджикистан об упорядочении традиций, торжеств и обрядов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Законодательство Республики Таджикистан об упорядочении традиций, торжеств и обрядов основывается на Конституции Республики Таджикистан и состоит из настоящего Закона, иных нормативных правовых актов Республики Таджикистан, а также международных правовых актов, признанных Таджикистаном.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5" w:name="A000000006"/>
      <w:bookmarkEnd w:id="5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ГЛАВА 2. ОРГАНЫ ПО УПОРЯДОЧЕНИЮ ТРАДИЦИЙ, ТОРЖЕСТВ И </w:t>
      </w:r>
      <w:proofErr w:type="gramStart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ОБРЯДОВ</w:t>
      </w:r>
      <w:proofErr w:type="gramEnd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И ИХ ПОЛНОМОЧИЯ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6" w:name="A000000007"/>
      <w:bookmarkEnd w:id="6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lastRenderedPageBreak/>
        <w:t>Статья 4. Уполномоченный орган по упорядочению традиций, торжеств и обрядов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Исполнение требований настоящего Закона осуществляется Уполномоченным органом, определяемым Правительством Республики Таджикистан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21.07.2010г.</w:t>
      </w:r>
      <w:hyperlink r:id="rId10" w:tooltip="Ссылка на Закон РТ О внесении изменений в Закон Республики Таджикистан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№636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, от 28.08.2017г.</w:t>
      </w:r>
      <w:hyperlink r:id="rId11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7" w:name="A000000008"/>
      <w:bookmarkEnd w:id="7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5. Местные постоянные комиссии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Для реализации настоящего Закона при местных исполнительных органах государственной власти областей, городов, районов,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джамоатах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поселков и сёл страны создаются местные постоянные комиссии.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 Положение о местных постоянных комиссиях утверждается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маджлисами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народных депутатов Горно-Бадахшанской автономной области, областей, города Душанбе, городов, районов,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джамоатами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поселков и сёл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12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Типовое положение о местных постоянных комиссиях утверждается Правительством Республики Таджикистан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13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8" w:name="A5070LE00R"/>
      <w:bookmarkEnd w:id="8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5(1). Общественные комиссии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В министерствах, ведомствах, предприятиях, учреждениях и других организациях, независимо от формы собственности и организационно-правовой формы, в которых работают не менее 30 работников, создаются общественные комиссии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14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Деятельность общественных комиссий осуществляется в соответствии с настоящим Законом и положением, утверждаемым руководителями министерств, ведомств, предприятий, учреждений и других организаций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15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Типовое положение об общественных комиссиях утверждается Правительством Республики Таджикистан.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Общественные комиссии осуществляют контроль соблюдения требований настоящего Закона работниками министерств, ведомств, предприятий, учреждений и других организаций, в которых они созданы, и принимают необходимые меры по предотвращению нарушений в данном направлении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16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В случае выявления нарушения требований настоящего Закона, общественные комиссии сообщают об этом в течение трех дней уполномоченному органу или местным постоянным комиссиям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17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9" w:name="A000000009"/>
      <w:bookmarkEnd w:id="9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6. Полномочия Уполномоченного органа и местных постоянных комиссий по упорядочению традиций, торжеств и обрядов</w:t>
      </w:r>
    </w:p>
    <w:p w:rsidR="009B4DA6" w:rsidRPr="009B4DA6" w:rsidRDefault="009B4DA6" w:rsidP="009B4D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21.07.2010г.№</w:t>
      </w:r>
      <w:hyperlink r:id="rId18" w:tooltip="Ссылка на Закон РТ О внесении изменений в Закон Республики Таджикистан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636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Уполномоченный орган и постоянные комиссии областей, городов и районов, а также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джамоаты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поселков и сёл по упорядочению традиций, торжеств и обрядов имеют следующие полномочия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21.07.2010г.№</w:t>
      </w:r>
      <w:hyperlink r:id="rId19" w:tooltip="Ссылка на Закон РТ О внесении изменений в Закон Республики Таджикистан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636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):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контролировать упорядочение традиций, торжеств и обрядов в соответствии с требованиями настоящего Закона и иными нормативными правовыми актами;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разрабатывать рекомендации и практические инструкции для экономного проведения торжеств и обрядов;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разъяснять требования законодательства и давать рекомендации лицам, проводящим торжества и обряды;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регистрировать свадьбы по случаю бракосочетания и траурные обряды, а также вести статистику в этом направлении;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принимать меры по предотвращению нарушения требований настоящего Закона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20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- обеспечивать взаимодействие между государственными органами и общественными объединениями по упорядочению традиций, торжеств и обрядов и организовывать просветительскую и пропагандистскую работу среди населения;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оказывать практическое содействие председателям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махаллей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отделам записи актов гражданского состояния, физическим и юридическим лицам в упорядочении торжеств и обрядов;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пропагандировать научно - популярную литературу по упорядочению традиций, торжеств и обрядов;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требовать от министерств и ведомств, местных исполнительных органов государственной власти областей, городов, районов, предприятий, учреждений и других организаций, независимо от форм собственности, и общественных объединений, информацию о выполнении нормативных правовых актов Республики Таджикистан по упорядочению традиций, торжеств и обрядов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21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В случае несоблюдения положений настоящего Закона Уполномоченный орган и постоянные комиссии составляют необходимый документ и направляют его соответствующим органам для применения правовых мер воздействия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21.07.2010г.№</w:t>
      </w:r>
      <w:hyperlink r:id="rId22" w:tooltip="Ссылка на Закон РТ О внесении изменений в Закон Республики Таджикистан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636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0" w:name="A000000010"/>
      <w:bookmarkEnd w:id="10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ГЛАВА 3. УПОРЯДОЧЕНИЕ ОФИЦИАЛЬНЫХ И СЕМЕЙНЫХ ТОРЖЕСТВ И ОБРЯДОВ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1" w:name="A000000011"/>
      <w:bookmarkEnd w:id="11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7. Официальные торжества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Празднование дней независимости Республики Таджикистан, Конституции Республики Таджикистан, Национального единства, праздников Навруз, Сада,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Мехргон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иди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Рамазон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иди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других праздников проводится в соответствии с законодательством Республики Таджикистан.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Празднование на государственном уровне даты образования предприятий, учреждений и других, государственных организаций, а также юбилеев и дней памяти лиц, имеющих высокие заслуги перед государством и обществом, осуществляется в соответствии с порядком, установленным Правительством Республики Таджикистан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23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Устраивать официальные приёмы в честь назначения на государственную должность, получение чина, звания, государственных наград, учёных и профессиональных степеней запрещается.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4. В дни праздника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Рамазон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накрывается духовный и экономный праздничный дастархан, запрещается расточительство и излишество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24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2" w:name="A000000012"/>
      <w:bookmarkEnd w:id="12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8. День рождения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День рождения отмечается добровольно только в семейном кругу.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3" w:name="A5070LPNQU"/>
      <w:bookmarkEnd w:id="13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9. Обряд по случаю обрезания</w:t>
      </w:r>
    </w:p>
    <w:p w:rsidR="009B4DA6" w:rsidRPr="009B4DA6" w:rsidRDefault="009B4DA6" w:rsidP="009B4D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25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Обряд по случаю обрезания проводится добровольно только в кругу семьи и без оказания услуг артистами.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Обрезание осуществляется с согласия родителей со дня рождения мальчика до двадцатого дня после рождения в соответствующих медицинских учреждениях в порядке, установленном уполномоченным государственным органом в сфере здравоохранения, бесплатно.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Мероприятия наречения,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гахворабандон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(укладывание новорождённого впервые в колыбель),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чиллагурезон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" (угощение по случаю окончания сорока дней после рождения </w:t>
      </w: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ребёнка),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муйсаргирон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(первая стрижка ребёнка) и другие мероприятия, связанные с рождением ребенка, проводятся в семейном кругу, без забоя скота и оказания услуг артистами.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Проведение обряда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акика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(обряд, устраиваемый на седьмой день после рождения ребенка) запрещается.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Родители и лица, их заменяющие, могут за счёт сэкономленных средств открыть на имя мальчика лицевые счета в банках до достижения ими совершеннолетия.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 Физические и юридические лица, имеющие финансовые возможности, могут с участием местных постоянных комиссий проводить благотворительные обряды по случаю, обрезания мальчиков, оставшихся без попечения, и мальчиков из малообеспеченных семей.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 Порядок проведения благотворительных обрядов по случаю обрезания определяется уполномоченным органом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26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4" w:name="A000000014"/>
      <w:bookmarkEnd w:id="14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10. Свадьба по случаю бракосочетания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Свадьба по случаю бракосочетания проводится добровольно в течение не более двух дней с банкетом до 150 человек и свадебного угощения до 200 человек за счёт обеих сторон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18.06.2008г.</w:t>
      </w:r>
      <w:hyperlink r:id="rId27" w:tooltip="Ссылка на Закон РТ О внес. измен-й в Закон РТ Об упорядочении традиций, торжеств и обрядов в Республике Таджикистан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№390</w:t>
        </w:r>
      </w:hyperlink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Организация мероприятий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фотиха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 обручения),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маслихатоши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(совет по подготовке торжества),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идонабари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(праздничное одаривание),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сандукбарон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сарупобинон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(демонстрация одежды невесты и жениха),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чойгаштак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(торжество для подруг невесты),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раисталбон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кудоталбон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своячество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ноншиканон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(помолвка),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хонакашон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 по подготовке комнаты жениха и невесты родственницами невесты),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модарталбон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падарталбон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(торжество по случаю первого посещения родителями невесты дома жениха после свадьбы),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руйбинон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 посещения невестой родственников жениха),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чодарканон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 снятия чадры невесты на третий день),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муборакбоди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(поздравления по случаю свадьбы),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шахтозон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рохбандон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") (перекрывание дороги к дому невесты),  дарение одежды для гостей обеих сторон и родственников жениха и невесты запрещается, за исключением вручения подарков жениху, невесте и их родителям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28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Мероприятия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домодталбон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 первого посещения зятя дома родителей жены) и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арусбинон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(обряд знакомства новобрачной с семьёй мужа- смотрины) проводится добровольно в семейном кругу с участием до 15 человек.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Родители жениха и невесты или лица, их заменяющие, по обоюдной договоренности могут вместо свадебного угощения потратить эти средства на улучшение условий жизни новобрачных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29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Супруги вправе в соответствии с положениями Семейного кодекса Республики Таджикистан заключить между собой брачный договор.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6. Церемония государственной регистрации брака в органах записи актов гражданского состояния 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джамоатах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посёлков и сёл проводится с использованием не более 4 легковых автомашин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30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 Физические и юридические лица, имеющие финансовые возможности, могут с участием местных постоянных комиссий проводить благотворительные свадьбы молодых по случаю бракосочетания из малообеспеченных семей.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8. Порядок проведения благотворительных свадеб по случаю бракосочетания определяется уполномоченным органом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1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5" w:name="A000000015"/>
      <w:bookmarkEnd w:id="15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11. Обряды похорон и траура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Обряд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джаноза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(заупокойная молитва) проводится без ограничения количества участвующих.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Обряды по случаю "третьего дня",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сорокавины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и "годовщины" после смерти проводятся без забоя скота и устраивания трапезы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2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В обрядах похорон и траура запрещается забой скота и устраивание трапезы, устраивание угощений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оши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сари тахта",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душанбеги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джумаги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хафт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бист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шашмохаги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", </w:t>
      </w: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а также вручение денег и других вещей запрещается, за исключением, оплаты услуг могильщика 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обмывальщика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3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Порядок проведения обрядов похорон и траура определяется уполномоченным органом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4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6" w:name="A000000016"/>
      <w:bookmarkEnd w:id="16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12. Паломничество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Мероприятия по случаю проводов и встречи паломников проводятся в семейном кругу.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Организация мероприятий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хочизиёрат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хочиталбон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и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хочиоши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(угощения по случаю паломничества) строго запрещается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5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Порядок поездки граждан для совершения хаджа 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умры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определяется Правительством Республики Таджикистан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6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7" w:name="A000000017"/>
      <w:bookmarkEnd w:id="17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13. Место проведения торжеств и обрядов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Торжества и обряды проводятся на площадках (дворах) у жилых домов, в частных домах или в ресторанах, кафе, столовых и в свадебных залах с соблюдением общественного порядка.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Обряд "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мавлудхони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 проводится добровольно, только в мечетях, без сборов и вручения денежных средств и организации угощения.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В торжествах и обрядах запрещается осыпать деньгами.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8" w:name="A000000018"/>
      <w:bookmarkEnd w:id="18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ГЛАВА 4. УПОРЯДОЧЕНИЕ ОБСЛУЖИВАНИЯ НА ТОРЖЕСТВАХ И ОБРЯДАХ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9" w:name="A000000019"/>
      <w:bookmarkEnd w:id="19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14. Порядок обслуживания торжеств и обрядов культурными учреждениями, ресторанами и столовыми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 Оказание услуг артистами на свадьбах и мероприятиях осуществляется на договорной основе с соблюдением нормативных правовых актов Республики Таджикистан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7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Администрации кафе, столовых, ресторанов и свадебных залов обязаны осуществлять обслуживание свадеб и мероприятий на основании двустороннего договора и при проведении свадеб и мероприятий соблюдать требования настоящего Закона относительно количества приглашённых и времени их проведения.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Свадьбы и обряды в городах проводятся в выходные дни с 8 до 22 часов, в рабочие дни - с 18 до 22 часов, а в поселках 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дехотах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(в том числе поселках и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дехотах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городского подчинения) в выходные дни с 1 апреля до 31 октября с 6 до 22 часов, с 1 ноября до 31 марта - с 8 до 22 часов, в рабочие дни - с 18 до 22 часов. Продолжительность проведения свадеб и мероприятий устанавливается до трёх часов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38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0" w:name="A63H0UZPNJ"/>
      <w:bookmarkEnd w:id="20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ГЛАВА 4(1). ОБЯЗАННОСТИ ФИЗИЧЕСКИХ И ЮРИДИЧЕСКИХ ЛИЦ ПРИ ПРОВЕДЕНИИ СВАДЕБ И МЕРОПРИЯТИЙ И ОГРАНИЧЕНИЯХ НА ПРОВЕДЕНИЕ ТОРЖЕСТВ И ОБРЯДОВ"</w:t>
      </w:r>
    </w:p>
    <w:p w:rsidR="009B4DA6" w:rsidRPr="009B4DA6" w:rsidRDefault="009B4DA6" w:rsidP="009B4D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39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1" w:name="A5070MGGJF"/>
      <w:bookmarkEnd w:id="21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14(1). Обязанности физических и юридических лиц при проведении свадеб и мероприятий</w:t>
      </w:r>
    </w:p>
    <w:p w:rsidR="009B4DA6" w:rsidRPr="009B4DA6" w:rsidRDefault="009B4DA6" w:rsidP="009B4D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40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Физические и юридические лица обязаны проводить торжества и обряды с соблюдением требований настоящего Закона, и информировать уполномоченный орган и местные постоянные комиссии о проведении свадеб по случаю бракосочетания и обрядов траура.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2. Физические и юридические лица обязаны защищать элементы национальной культуры, в том числе государственный язык и национальную одежду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41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2" w:name="A63H0V1686"/>
      <w:bookmarkEnd w:id="22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14(2). Ограничения на проведение торжеств и обрядов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исключительных случаях, с соблюдением положений законодательства Республики Таджикистан, при чрезвычайном положении, чрезвычайных ситуациях природного и техногенного характера, Правительство Республики Таджикистан может установить ограничительные нормы на проведение торжеств и обрядов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25.06.2021г.</w:t>
      </w:r>
      <w:hyperlink r:id="rId42" w:tooltip="Ссылка на Закон РТ О внесении изменений и дополнения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66CC"/>
            <w:sz w:val="21"/>
            <w:szCs w:val="21"/>
            <w:u w:val="single"/>
            <w:lang w:eastAsia="ru-RU"/>
          </w:rPr>
          <w:t>№1792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3" w:name="A63H0V0RLE"/>
      <w:bookmarkEnd w:id="23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ГЛАВА 5. ЗАКЛЮЧИТЕЛЬНЫЕ ПОЛОЖЕНИЯ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4" w:name="A5070MQDEJ"/>
      <w:bookmarkEnd w:id="24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15. Ответственность за несоблюдение требований настоящего Закона</w:t>
      </w:r>
    </w:p>
    <w:p w:rsidR="009B4DA6" w:rsidRPr="009B4DA6" w:rsidRDefault="009B4DA6" w:rsidP="009B4D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43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Физические и юридические лица за несоблюдение требований настоящего Закона привлекаются к ответственности в порядке, установленном законодательством Республики Таджикистан.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За нарушение требований настоящего Закона члены Правительства, председатель Горно-Бадахшанской автономной области, областей, города Душанбе, городов и районов, другие должностными государственными лицами, государственными служащими, судьями, работниками органов прокуратуры, безопасности, внутренних дел, государственного финансового контроля и борьбы с коррупцией, налоговых, таможенных, работниками других правоохранительных органов, военнослужащими и их детьми они в соответствии с законодательством Республики Таджикистан освобождаются от должности </w:t>
      </w:r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(в редакции Закона РТ от 28.08.2017г.</w:t>
      </w:r>
      <w:hyperlink r:id="rId44" w:tooltip="Ссылка на Закон РТ О внесении изменений и дополнений в Закон РТ Об упорядочении традиций, торжеств и обрядов в РТ" w:history="1">
        <w:r w:rsidRPr="009B4DA6">
          <w:rPr>
            <w:rFonts w:ascii="Arial" w:eastAsia="Times New Roman" w:hAnsi="Arial" w:cs="Arial"/>
            <w:i/>
            <w:iCs/>
            <w:color w:val="0000CC"/>
            <w:sz w:val="21"/>
            <w:szCs w:val="21"/>
            <w:u w:val="single"/>
            <w:lang w:eastAsia="ru-RU"/>
          </w:rPr>
          <w:t>№1461</w:t>
        </w:r>
      </w:hyperlink>
      <w:r w:rsidRPr="009B4DA6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).</w:t>
      </w:r>
    </w:p>
    <w:p w:rsidR="009B4DA6" w:rsidRPr="009B4DA6" w:rsidRDefault="009B4DA6" w:rsidP="009B4DA6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5" w:name="A000000022"/>
      <w:bookmarkEnd w:id="25"/>
      <w:r w:rsidRPr="009B4DA6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Статья 16. Порядок введения в действие настоящего Закона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Настоящий Закон ввести в действие со дня его официального опубликования.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Президент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Республики Таджикистан                             Э. Рахмонов</w:t>
      </w:r>
    </w:p>
    <w:p w:rsidR="009B4DA6" w:rsidRPr="009B4DA6" w:rsidRDefault="009B4DA6" w:rsidP="009B4D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г.Душанбе</w:t>
      </w:r>
      <w:proofErr w:type="spellEnd"/>
    </w:p>
    <w:p w:rsidR="009B4DA6" w:rsidRPr="009B4DA6" w:rsidRDefault="009B4DA6" w:rsidP="009B4D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8 июня 2007 года № 272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bookmarkStart w:id="26" w:name="A000000023"/>
      <w:bookmarkEnd w:id="26"/>
      <w:r w:rsidRPr="009B4DA6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ПОСТАНОВЛЕНИЕ МАДЖЛИСИ НАМОЯНДАГОН МАДЖЛИСИ ОЛИ РЕСПУБЛИКИ ТАДЖИКИСТАН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proofErr w:type="gramStart"/>
      <w:r w:rsidRPr="009B4DA6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О принятий</w:t>
      </w:r>
      <w:proofErr w:type="gramEnd"/>
      <w:r w:rsidRPr="009B4DA6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 xml:space="preserve"> Закона Республики Таджикистан "Об упорядочении традиций, торжеств и обрядов в Республике Таджикистан".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намояндагон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Оли Республики Таджикистан постановляет: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Принять Закон Республики Таджикистан "Об упорядочении традиций, торжеств и обрядов в Республике Таджикистан"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Председатель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намояндагон</w:t>
      </w:r>
      <w:proofErr w:type="spellEnd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Оли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Республики Таджикистан             С. </w:t>
      </w: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Хайруллоев</w:t>
      </w:r>
      <w:proofErr w:type="spellEnd"/>
    </w:p>
    <w:p w:rsidR="009B4DA6" w:rsidRPr="009B4DA6" w:rsidRDefault="009B4DA6" w:rsidP="009B4D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г. Душанбе, от 30 мая 2007 года, № 584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bookmarkStart w:id="27" w:name="A000000024"/>
      <w:bookmarkEnd w:id="27"/>
      <w:r w:rsidRPr="009B4DA6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ПОСТАНОВЛЕНИЕ МАДЖЛИСИ МИЛЛИ МАДЖЛИСИ ОЛИ РЕСПУБЛИКИ ТАДЖИКИСТАН</w:t>
      </w:r>
    </w:p>
    <w:p w:rsidR="009B4DA6" w:rsidRPr="009B4DA6" w:rsidRDefault="009B4DA6" w:rsidP="009B4DA6">
      <w:pPr>
        <w:shd w:val="clear" w:color="auto" w:fill="FFFFFF"/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lastRenderedPageBreak/>
        <w:t>О Законе Республики Таджикистан "Об упорядочении традиций, торжеств и обрядов в Республике Таджикистан"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Рассмотрев Закон Республики Таджикистан "Об упорядочении традиций, торжеств и обрядов в Республике Таджикистан",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милли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Оли Республики Таджикистан постановляет:</w:t>
      </w:r>
    </w:p>
    <w:p w:rsidR="009B4DA6" w:rsidRPr="009B4DA6" w:rsidRDefault="009B4DA6" w:rsidP="009B4DA6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Одобрить Закон Республики Таджикистан "Об упорядочении традиций, торжеств и обрядов в Республике Таджикистан".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Председатель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милли</w:t>
      </w:r>
      <w:proofErr w:type="spellEnd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</w:t>
      </w: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Маджлиси</w:t>
      </w:r>
      <w:proofErr w:type="spellEnd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Оли</w:t>
      </w:r>
    </w:p>
    <w:p w:rsidR="009B4DA6" w:rsidRPr="009B4DA6" w:rsidRDefault="009B4DA6" w:rsidP="009B4D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Республики Таджикистан                               </w:t>
      </w:r>
      <w:proofErr w:type="spellStart"/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М.Убайдуллоев</w:t>
      </w:r>
      <w:proofErr w:type="spellEnd"/>
    </w:p>
    <w:p w:rsidR="009B4DA6" w:rsidRPr="009B4DA6" w:rsidRDefault="009B4DA6" w:rsidP="009B4D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9B4DA6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г. Душанбе, 7 июня 2007 года №331</w:t>
      </w:r>
    </w:p>
    <w:p w:rsidR="00701AE2" w:rsidRDefault="00701AE2"/>
    <w:sectPr w:rsidR="0070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6"/>
    <w:rsid w:val="00701AE2"/>
    <w:rsid w:val="009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6BA6F-AD62-47CF-8E88-6C30865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B4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B4DA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D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4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4DA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dname">
    <w:name w:val="dname"/>
    <w:basedOn w:val="a"/>
    <w:rsid w:val="009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DA6"/>
    <w:rPr>
      <w:color w:val="0000FF"/>
      <w:u w:val="single"/>
    </w:rPr>
  </w:style>
  <w:style w:type="character" w:customStyle="1" w:styleId="inline-comment">
    <w:name w:val="inline-comment"/>
    <w:basedOn w:val="a0"/>
    <w:rsid w:val="009B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8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i-huquqi.tj/publicadliya/view_qonunhoview.php?showdetail=&amp;asosi_id=20244" TargetMode="External"/><Relationship Id="rId18" Type="http://schemas.openxmlformats.org/officeDocument/2006/relationships/hyperlink" Target="http://portali-huquqi.tj/publicadliya/view_qonunhoview.php?showdetail=&amp;asosi_id=12059" TargetMode="External"/><Relationship Id="rId26" Type="http://schemas.openxmlformats.org/officeDocument/2006/relationships/hyperlink" Target="http://portali-huquqi.tj/publicadliya/view_qonunhoview.php?showdetail=&amp;asosi_id=20244" TargetMode="External"/><Relationship Id="rId39" Type="http://schemas.openxmlformats.org/officeDocument/2006/relationships/hyperlink" Target="http://portali-huquqi.tj/publicadliya/view_qonunhoview.php?showdetail=&amp;asosi_id=24900" TargetMode="External"/><Relationship Id="rId21" Type="http://schemas.openxmlformats.org/officeDocument/2006/relationships/hyperlink" Target="http://portali-huquqi.tj/publicadliya/view_qonunhoview.php?showdetail=&amp;asosi_id=24900" TargetMode="External"/><Relationship Id="rId34" Type="http://schemas.openxmlformats.org/officeDocument/2006/relationships/hyperlink" Target="http://portali-huquqi.tj/publicadliya/view_qonunhoview.php?showdetail=&amp;asosi_id=20244" TargetMode="External"/><Relationship Id="rId42" Type="http://schemas.openxmlformats.org/officeDocument/2006/relationships/hyperlink" Target="http://portali-huquqi.tj/publicadliya/view_qonunhoview.php?showdetail=&amp;asosi_id=24900" TargetMode="External"/><Relationship Id="rId7" Type="http://schemas.openxmlformats.org/officeDocument/2006/relationships/hyperlink" Target="http://portali-huquqi.tj/publicadliya/view_qonunhoview.php?showdetail=&amp;asosi_id=202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rtali-huquqi.tj/publicadliya/view_qonunhoview.php?showdetail=&amp;asosi_id=24900" TargetMode="External"/><Relationship Id="rId29" Type="http://schemas.openxmlformats.org/officeDocument/2006/relationships/hyperlink" Target="http://portali-huquqi.tj/publicadliya/view_qonunhoview.php?showdetail=&amp;asosi_id=20244" TargetMode="External"/><Relationship Id="rId1" Type="http://schemas.openxmlformats.org/officeDocument/2006/relationships/styles" Target="styles.xml"/><Relationship Id="rId6" Type="http://schemas.openxmlformats.org/officeDocument/2006/relationships/hyperlink" Target="http://portali-huquqi.tj/publicadliya/view_qonunhoview.php?showdetail=&amp;asosi_id=19934" TargetMode="External"/><Relationship Id="rId11" Type="http://schemas.openxmlformats.org/officeDocument/2006/relationships/hyperlink" Target="http://portali-huquqi.tj/publicadliya/view_qonunhoview.php?showdetail=&amp;asosi_id=20244" TargetMode="External"/><Relationship Id="rId24" Type="http://schemas.openxmlformats.org/officeDocument/2006/relationships/hyperlink" Target="http://portali-huquqi.tj/publicadliya/view_qonunhoview.php?showdetail=&amp;asosi_id=20244" TargetMode="External"/><Relationship Id="rId32" Type="http://schemas.openxmlformats.org/officeDocument/2006/relationships/hyperlink" Target="http://portali-huquqi.tj/publicadliya/view_qonunhoview.php?showdetail=&amp;asosi_id=20244" TargetMode="External"/><Relationship Id="rId37" Type="http://schemas.openxmlformats.org/officeDocument/2006/relationships/hyperlink" Target="http://portali-huquqi.tj/publicadliya/view_qonunhoview.php?showdetail=&amp;asosi_id=20244" TargetMode="External"/><Relationship Id="rId40" Type="http://schemas.openxmlformats.org/officeDocument/2006/relationships/hyperlink" Target="http://portali-huquqi.tj/publicadliya/view_qonunhoview.php?showdetail=&amp;asosi_id=2024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portali-huquqi.tj/publicadliya/view_qonunhoview.php?showdetail=&amp;asosi_id=12059" TargetMode="External"/><Relationship Id="rId15" Type="http://schemas.openxmlformats.org/officeDocument/2006/relationships/hyperlink" Target="http://portali-huquqi.tj/publicadliya/view_qonunhoview.php?showdetail=&amp;asosi_id=24900" TargetMode="External"/><Relationship Id="rId23" Type="http://schemas.openxmlformats.org/officeDocument/2006/relationships/hyperlink" Target="http://portali-huquqi.tj/publicadliya/view_qonunhoview.php?showdetail=&amp;asosi_id=24900" TargetMode="External"/><Relationship Id="rId28" Type="http://schemas.openxmlformats.org/officeDocument/2006/relationships/hyperlink" Target="http://portali-huquqi.tj/publicadliya/view_qonunhoview.php?showdetail=&amp;asosi_id=20244" TargetMode="External"/><Relationship Id="rId36" Type="http://schemas.openxmlformats.org/officeDocument/2006/relationships/hyperlink" Target="http://portali-huquqi.tj/publicadliya/view_qonunhoview.php?showdetail=&amp;asosi_id=20244" TargetMode="External"/><Relationship Id="rId10" Type="http://schemas.openxmlformats.org/officeDocument/2006/relationships/hyperlink" Target="http://portali-huquqi.tj/publicadliya/view_qonunhoview.php?showdetail=&amp;asosi_id=12059" TargetMode="External"/><Relationship Id="rId19" Type="http://schemas.openxmlformats.org/officeDocument/2006/relationships/hyperlink" Target="http://portali-huquqi.tj/publicadliya/view_qonunhoview.php?showdetail=&amp;asosi_id=12059" TargetMode="External"/><Relationship Id="rId31" Type="http://schemas.openxmlformats.org/officeDocument/2006/relationships/hyperlink" Target="http://portali-huquqi.tj/publicadliya/view_qonunhoview.php?showdetail=&amp;asosi_id=20244" TargetMode="External"/><Relationship Id="rId44" Type="http://schemas.openxmlformats.org/officeDocument/2006/relationships/hyperlink" Target="http://portali-huquqi.tj/publicadliya/view_qonunhoview.php?showdetail=&amp;asosi_id=20244" TargetMode="External"/><Relationship Id="rId4" Type="http://schemas.openxmlformats.org/officeDocument/2006/relationships/hyperlink" Target="http://portali-huquqi.tj/publicadliya/view_qonunhoview.php?showdetail=&amp;asosi_id=9682" TargetMode="External"/><Relationship Id="rId9" Type="http://schemas.openxmlformats.org/officeDocument/2006/relationships/hyperlink" Target="http://portali-huquqi.tj/publicadliya/view_qonunhoview.php?showdetail=&amp;asosi_id=24900" TargetMode="External"/><Relationship Id="rId14" Type="http://schemas.openxmlformats.org/officeDocument/2006/relationships/hyperlink" Target="http://portali-huquqi.tj/publicadliya/view_qonunhoview.php?showdetail=&amp;asosi_id=24900" TargetMode="External"/><Relationship Id="rId22" Type="http://schemas.openxmlformats.org/officeDocument/2006/relationships/hyperlink" Target="http://portali-huquqi.tj/publicadliya/view_qonunhoview.php?showdetail=&amp;asosi_id=12059" TargetMode="External"/><Relationship Id="rId27" Type="http://schemas.openxmlformats.org/officeDocument/2006/relationships/hyperlink" Target="http://portali-huquqi.tj/publicadliya/view_qonunhoview.php?showdetail=&amp;asosi_id=9682" TargetMode="External"/><Relationship Id="rId30" Type="http://schemas.openxmlformats.org/officeDocument/2006/relationships/hyperlink" Target="http://portali-huquqi.tj/publicadliya/view_qonunhoview.php?showdetail=&amp;asosi_id=24900" TargetMode="External"/><Relationship Id="rId35" Type="http://schemas.openxmlformats.org/officeDocument/2006/relationships/hyperlink" Target="http://portali-huquqi.tj/publicadliya/view_qonunhoview.php?showdetail=&amp;asosi_id=20244" TargetMode="External"/><Relationship Id="rId43" Type="http://schemas.openxmlformats.org/officeDocument/2006/relationships/hyperlink" Target="http://portali-huquqi.tj/publicadliya/view_qonunhoview.php?showdetail=&amp;asosi_id=20244" TargetMode="External"/><Relationship Id="rId8" Type="http://schemas.openxmlformats.org/officeDocument/2006/relationships/hyperlink" Target="http://portali-huquqi.tj/publicadliya/view_qonunhoview.php?showdetail=&amp;asosi_id=249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ortali-huquqi.tj/publicadliya/view_qonunhoview.php?showdetail=&amp;asosi_id=20244" TargetMode="External"/><Relationship Id="rId17" Type="http://schemas.openxmlformats.org/officeDocument/2006/relationships/hyperlink" Target="http://portali-huquqi.tj/publicadliya/view_qonunhoview.php?showdetail=&amp;asosi_id=20244" TargetMode="External"/><Relationship Id="rId25" Type="http://schemas.openxmlformats.org/officeDocument/2006/relationships/hyperlink" Target="http://portali-huquqi.tj/publicadliya/view_qonunhoview.php?showdetail=&amp;asosi_id=20244" TargetMode="External"/><Relationship Id="rId33" Type="http://schemas.openxmlformats.org/officeDocument/2006/relationships/hyperlink" Target="http://portali-huquqi.tj/publicadliya/view_qonunhoview.php?showdetail=&amp;asosi_id=20244" TargetMode="External"/><Relationship Id="rId38" Type="http://schemas.openxmlformats.org/officeDocument/2006/relationships/hyperlink" Target="http://portali-huquqi.tj/publicadliya/view_qonunhoview.php?showdetail=&amp;asosi_id=2024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portali-huquqi.tj/publicadliya/view_qonunhoview.php?showdetail=&amp;asosi_id=20244" TargetMode="External"/><Relationship Id="rId41" Type="http://schemas.openxmlformats.org/officeDocument/2006/relationships/hyperlink" Target="http://portali-huquqi.tj/publicadliya/view_qonunhoview.php?showdetail=&amp;asosi_id=20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3994</Words>
  <Characters>22771</Characters>
  <Application>Microsoft Office Word</Application>
  <DocSecurity>0</DocSecurity>
  <Lines>189</Lines>
  <Paragraphs>53</Paragraphs>
  <ScaleCrop>false</ScaleCrop>
  <Company/>
  <LinksUpToDate>false</LinksUpToDate>
  <CharactersWithSpaces>26712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Borunova</dc:creator>
  <cp:keywords/>
  <dc:description/>
  <cp:lastModifiedBy>Lyudmila Borunova</cp:lastModifiedBy>
  <cp:revision>1</cp:revision>
  <dcterms:created xsi:type="dcterms:W3CDTF">2026-01-27T12:30:00Z</dcterms:created>
  <dcterms:modified xsi:type="dcterms:W3CDTF">2026-01-27T12:30:00Z</dcterms:modified>
</cp:coreProperties>
</file>